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68</w:t>
      </w:r>
    </w:p>
    <w:p>
      <w:r>
        <w:t>Bundesgericht (BGE), 1984-10-29, DE</w:t>
      </w:r>
    </w:p>
    <w:p>
      <w:r>
        <w:rPr>
          <w:b/>
        </w:rPr>
        <w:t xml:space="preserve">Quelle: </w:t>
      </w:r>
      <w:r>
        <w:t>https://mcp.opencaselaw.ch/entscheid/bge_110 IV 68</w:t>
      </w:r>
    </w:p>
    <w:p>
      <w:r>
        <w:t>FR: ATF 110 IV 68</w:t>
      </w:r>
    </w:p>
    <w:p>
      <w:r>
        <w:t>IT: DTF 110 IV 68</w:t>
      </w:r>
    </w:p>
    <w:p>
      <w:pPr>
        <w:pStyle w:val="Heading2"/>
      </w:pPr>
      <w:r>
        <w:t>Regeste</w:t>
      </w:r>
    </w:p>
    <w:p>
      <w:r>
        <w:t>Regeste Art. 223 und 125 StGB. Fahrlässige Verursachung einer Explosion und fahrlässige schwere Körperverletzung. Wer als Betriebsleiter einem Dritten Geräte zur Verwendung von Flüssiggas überlässt, ohne ihn über die speziellen Unfallgefahren zu instruieren, verletzt seine Sorgfaltspflicht.</w:t>
      </w:r>
    </w:p>
    <w:p>
      <w:pPr>
        <w:pStyle w:val="Heading2"/>
      </w:pPr>
      <w:r>
        <w:t>Erwägungen</w:t>
      </w:r>
    </w:p>
    <w:p>
      <w:r>
        <w:rPr>
          <w:b/>
        </w:rPr>
        <w:t>E. 1</w:t>
      </w:r>
    </w:p>
    <w:p>
      <w:r>
        <w:t>Nach den Feststellungen der Vorinstanz führte folgende Ursachenreihe zum Schadenereignis: P. K. und Ba. setzten den ihnen für das Wärmen des Bodens von W. K. überlassenen Gasbrenner im Kühlraum der Metzgerei in Funktion. Die Flamme der während Stunden nicht beaufsichtigten Einrichtung erlosch mangels Sauerstoffzufuhr. Das Gas strömte aus und es entstand im Raum ein Gemisch, das beim Versuch, den Brenner wieder in Betrieb zu setzen, schnell abbrannte (verpuffte, im Rechtssinne: "explodierte"). An dieser Kausalkette ist der Beschwerdeführer dadurch beteiligt, dass er seinem Bruder die Flüssiggas-Flasche und den Brenner für den Einsatz im Kühlraum überliess, ohne ihn über die Gefahren der Flüssiggas-Verwendung und die dabei zu beachtenden Vorschriften zu instruieren.</w:t>
      </w:r>
    </w:p>
    <w:p>
      <w:r>
        <w:rPr>
          <w:b/>
        </w:rPr>
        <w:t>E. 2</w:t>
      </w:r>
    </w:p>
    <w:p>
      <w:r>
        <w:t>Dem Beschwerdeführer wird Fahrlässigkeit vorgeworfen. Seine strafrechtliche Verantwortung für die eingetretenen Folgen (Explosion und Körperverletzung) hängt davon ab, ob sein Verhalten im Sinne von Art. 18 Abs. 3 StGB eine pflichtwidrige Unvorsichtigkeit darstellt und ob gegebenenfalls das pflichtwidrige Verhalten für die eingetretenen tatbestandsmässigen Folgen kausal war. Die Lehre von der Garantenstellung, auf welche die Vorinstanz Bezug genommen hat, wurde in der Doktrin vor allem zur Abgrenzung der vorsätzlichen unechten Unterlassungsdelikte entwickelt. Sie befasst sich daher in erster Linie mit der Frage, unter welchen Voraussetzungen ein vorsätzliches Unterlassen dem vorsätzlichen Handeln gleichzusetzen ist und zur Verurteilung wegen eines Begehungsdeliktes führen kann. Im Bereich der Fahrlässigkeitsdelikte stellt sich diese Frage nicht in gleicher Weise, da als Fahrlässigkeit von vornherein auch eine Unterlassung in Frage kommen kann und die pflichtwidrige Unvorsichtigkeit sehr häufig in einer die Sorgfaltspflicht verletzenden Unterlassung besteht. Wenn es darum geht, das Bestehen und das Ausmass der Sorgfaltspflicht zu begründen, so kann es allerdings zweckmässig sein, auf die Grundlagen der Lehre von der Garantenstellung zurückzugreifen BGE 110 IV 68 S. 71 (vgl. dazu STRATENWERTH, AT I, S. 420; BGE 108 IV 5 ff.). Die Vorsichtspflicht im Sinne von Art. 18 Abs. 3 StGB lässt sich aber in den meisten Fällen direkt und einfacher begründen ohne Bezugnahme auf die Kriterien des Garanten, die im Bereich der vorsätzlichen Unterlassungsdelikte restriktiv sein müssen.</w:t>
      </w:r>
    </w:p>
    <w:p>
      <w:r>
        <w:rPr>
          <w:b/>
        </w:rPr>
        <w:t>E. 3</w:t>
      </w:r>
    </w:p>
    <w:p>
      <w:r>
        <w:t>Wer über eine Einrichtung verfügt, deren Gebrauch besondere, nicht ohne weiteres erkennbare oder allgemein bekannte Unfallrisiken mit sich bringt, hat nicht nur selber die Regeln zur Vermeidung dieser Risiken zu beachten, sondern auch dafür zu sorgen, dass Drittpersonen, denen er die Verwendung seiner Einrichtung gestattet, über die Unfallrisiken und die zu beachtenden Vorschriften gebührend orientiert sind. Geräte für die Verwendung von Flüssiggas sind solche Einrichtungen, welche spezielle Unfallgefahren bewirken können und eine entsprechende Instruktion des für die Bedienung Verantwortlichen erfordern. Dass der Gebrauch von Flüssiggas mit Risiken verbunden ist, denen durch besondere Vorsicht und Einhaltung bestimmter Regeln begegnet werden muss, ergibt sich aus den einschlägigen Brandschutzvorschriften und Flüssiggas-Richtlinien sowie aus den Publikationen der SUVA (vgl. SJZ 1977 S. 205). Der Beschwerdeführer als Leiter eines Betriebes, in welchem oft Gasbrenner verwendet werden, musste über die Gefahren dieser Geräte und die Notwendigkeit entsprechender Instruktion bei Abgabe an Drittpersonen orientiert sein. Er bestreitet nicht, die Vorsichtspflicht gekannt zu haben, wenn er sich auch um die Vorschriften nie besonders kümmerte. Unbestritten ist, dass W. K. im konkreten Fall den Gasbrenner und die Gasflasche seinem Bruder zum Gebrauch überliess, ohne ihn zu instruieren oder abzuklären, ob er Erfahrung im Umgang mit einem solchen Gasverbrauchsgerät habe. Diese Sorglosigkeit bei der Überlassung des Gerätes an eine Drittperson wird dem Beschwerdeführer als Fahrlässigkeit zur Last gelegt; insbesondere hätte P. K. auf das Risiko bei Verwendung in Unterflurräumen aufmerksam gemacht und vor unbeaufsichtigtem Betrieb des Gasbrenners nachdrücklich gewarnt werden müssen. a) Gegen diese Vorwürfe wird in der Nichtigkeitsbeschwerde eingewendet, W. K. habe das Gasverbrauchsgerät nicht einfach seinem Bruder überlassen, sondern ihm für die Erledigung des Auftrages den Mitarbeiter Ba. zur Verfügung gestellt, der mit Gasflaschen und Brennern vertraut war. Nach den verbindlichen Feststellungen der Vorinstanz hat der Beschwerdeführer seinen BGE 110 IV 68 S. 72 Mitarbeiter Ba. in erster Linie als Chauffeur, nicht als Fachmann für den Einsatz und die Bedienung des Gasbrenners zur Verfügung gestellt. Wohl wirkte Ba. nachher beim Aufstellen des Gasbrenners mit, aber P. K., der in der Verwendung von Flüssiggas keine Erfahrung hatte, trug die Verantwortung für das Trocknen des Bodens. Dass der Beschwerdeführer den Mitarbeiter Ba. als Chauffeur mitschickte, kann er nicht hinterher als Entschuldigung für das Unterlassen jeder Instruktion anführen. b) Der Beschwerdeführer wusste, dass ein längere Zeit dauernder Einsatz des Gasbrenners geplant war. Das ergab sich aus dem Zweck der Verwendung. Es war auch erkennbar, dass der Kühlraum sich möglicherweise unter Flur befinde und dass die genügende Luftzufuhr problematisch sein könnte. In dieser Situation war es dringend geboten, bei der Erteilung der Erlaubnis zur Verwendung des Gasbrenners auf die speziellen Risiken hinzuweisen und dauernde Überwachung des Gerätes zu empfehlen. Dass W. K. sich um die möglichen Gefahren gar nicht kümmerte und die Verwendung des Flüssiggas-Gerätes ohne jede Instruktion gestattete, widerspricht der elementaren Vorsichtspflicht des Halters einer solchen Einrichtung. c) Dieser Verstoss gegen die Sorgfaltspflicht kann auch nicht mit dem Einwand entschuldigt werden, der Beschwerdeführer habe angenommen, das Aufwärmen und Trocknen des Bodens erfolgten im direkten Flammenkontakt mit dem Brenner in der Hand; auf jeden Fall habe er nicht damit rechnen müssen, sein Bruder werde die Flamme unbeaufsichtigt lassen. Bei einer derartigen Trocknungsarbeit war vorauszusehen, dass der Brenner über längere Zeit verwendet werden musste. Der Gedanke, mit dem Brenner den Raum zu heizen, wie das offenbar etwa bei Aufenthaltsräumen in Neubauten gemacht wird, lag daher nicht fern. Auf jeden Fall hätte der Beschwerdeführer bei pflichtgemässer Sorgfalt allen Grund gehabt, mit seinem Bruder genau zu besprechen, wie der Gasbrenner eingesetzt werden soll, und ihn zur nötigen Vorsicht anzuhalten. Er konnte und durfte sich nicht darauf verlassen, die offene Flamme werde gewiss nicht unbeaufsichtigt bleiben.</w:t>
      </w:r>
    </w:p>
    <w:p>
      <w:r>
        <w:rPr>
          <w:b/>
        </w:rPr>
        <w:t>E. 4</w:t>
      </w:r>
    </w:p>
    <w:p>
      <w:r>
        <w:t>Ob die verwendete Flasche (nach ihrem Gewicht) gemäss den Flüssiggas-Richtlinien ausnahmsweise auch unter Flur hätte eingesetzt werden dürfen, ist hier nicht zu entscheiden; denn der Fahrlässigkeits-Vorwurf wird ja nicht einfach durch die Flüssiggas-Verwendung in einem Unterflurraum begründet. BGE 110 IV 68 S. 73 Die Vorinstanz hat lediglich festgehalten, dass gemäss den Richtlinien Gasflaschen prinzipiell nicht in Unterflurräumen aufgestellt werden dürfen, und daran die Folgerung geknüpft, der Umgang mit solchen Gasbrenneranlagen bedürfe - "insbesondere in Unterflurräumen - zumindest besonderer Vorsicht ..., zumal der hier verwendete Brenner keine Zündflammsicherung" besitze. Diese Erwägung ist auch im Lichte des vollständigen Textes der Richtlinien nicht zu beanstanden. Die Vorinstanz führt nicht etwa aus, die Flüssiggas-Verwendung hätte am vorgesehenen Ort vom Beschwerdeführer gar nicht erlaubt werden dürfen. Als Fahrlässigkeit wird dem Beschwerdeführer ausschliesslich das Unterlassen jeder Instruktion vorgeworfen.</w:t>
      </w:r>
    </w:p>
    <w:p>
      <w:r>
        <w:rPr>
          <w:b/>
        </w:rPr>
        <w:t>E. 5</w:t>
      </w:r>
    </w:p>
    <w:p>
      <w:r>
        <w:t>Die Gasflasche war im vorliegenden Fall nicht oder ganz ungenügend odoriert. Bei ausreichender Odoration wäre das ausgeströmte Gas durch seinen Geruch aufgefallen. Das Fehlen der Odoration kann nicht dem Beschwerdeführer zur Last gelegt werden. Auch im angefochtenen Urteil wird ihm diese Mitursache richtigerweise nicht angelastet. Das Obergericht führt lediglich aus, das Fehlen der Odorierung könne den Beschwerdeführer nicht stark entlasten, weil er es zu vertreten habe, dass im Betrieb keine Lagerkontrolle geführt wurde und daher das Vorhandensein nicht odorierter Flaschen nicht bekannt war. Die genügende Odoration hätte möglicherweise dazu beigetragen, die Auswirkungen der fehlenden Instruktion zu verhindern, weil der ausgeprägte Gasgeruch zur Vorsicht veranlasst hätte. Durch dieses Ausbleiben einer Warnung wird aber die Sorglosigkeit beim Überlassen der Einrichtung weder aufgehoben, noch vermindert. Anderseits stellt der Vorwurf des Fehlens einer Lagerkontrolle (betr. Odorierung) kein separates Schuldelement dar, das bei der Beurteilung des Beschwerdeführers ins Gewicht fallen würde.</w:t>
      </w:r>
    </w:p>
    <w:p>
      <w:r>
        <w:rPr>
          <w:b/>
        </w:rPr>
        <w:t>E. 6</w:t>
      </w:r>
    </w:p>
    <w:p>
      <w:r>
        <w:t>Der in der Nichtigkeitsbeschwerde vorgebrachte Vergleich mit der Überlassung eines Motorfahrzeuges kann durchaus zutreffend sein, sofern man die Randbedingungen richtig beachtet. Ein Auto darf man einer Drittperson höchstens dann ohne weitere Erkundigung zum Gebrauch überlassen, wenn man nach den Umständen in guten Treuen überzeugt sein darf, dass der Dritte den für die betreffende Fahrzeugkategorie erforderlichen Führerschein besitzt. Sobald Zweifel bestehen, hat man sich zu erkundigen. Der Beschwerdeführer hatte keinen Grund anzunehmen, sein Bruder sei mit den besondern Risiken der Flüssiggas-Verwendung BGE 110 IV 68 S. 74 vertraut. Er vergewisserte sich auch nicht über die Erfahrungen von Ba. und machte ihn nicht zum Verantwortlichen für die geplante Trocknung des Bodens. Aus den Feststellungen der Vorinstanz ergibt sich vielmehr, dass der Beschwerdeführer das Gerät seinem Bruder für eine etwas aussergewöhnliche Verwendung überliess, ohne sich um das Unfallrisiko zu kümmern.</w:t>
      </w:r>
    </w:p>
    <w:p>
      <w:r>
        <w:rPr>
          <w:b/>
        </w:rPr>
        <w:t>E. 7</w:t>
      </w:r>
    </w:p>
    <w:p>
      <w:r>
        <w:t>Dass der vorgeworfene Mangel an Instruktion für das Schadenereignis kausal gewesen sei, wird in der Nichtigkeitsbeschwerde nicht in Frage gestellt. Es darf davon ausgegangen werden, dass ein genügender Hinweis auf die Gefahren bei unbeaufsichtigtem Betrieb des Brenners und speziell bei der Verwendung in einem Unterflurraum ohne genügende Luftzufuhr mit hoher Wahrscheinlichkeit geeignet gewesen wäre, den zur Explosion und zur Körperverletzung führenden Ablauf zu verhindern, weil der genügend gewarnte P. K. von einem stundenlangen Betrieb des Gasbrenners ohne Aufsicht abgesehen hätte.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